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828"/>
        <w:gridCol w:w="4044"/>
        <w:gridCol w:w="3402"/>
        <w:gridCol w:w="2476"/>
      </w:tblGrid>
      <w:tr w:rsidR="00EB7091" w:rsidTr="0091446A">
        <w:trPr>
          <w:cantSplit/>
        </w:trPr>
        <w:tc>
          <w:tcPr>
            <w:tcW w:w="1485" w:type="dxa"/>
            <w:shd w:val="pct20" w:color="auto" w:fill="FFFFFF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050">
              <w:rPr>
                <w:rFonts w:cstheme="minorHAnsi"/>
                <w:b/>
                <w:i/>
                <w:sz w:val="28"/>
                <w:szCs w:val="28"/>
              </w:rPr>
              <w:t>Ocena:</w:t>
            </w:r>
          </w:p>
        </w:tc>
        <w:tc>
          <w:tcPr>
            <w:tcW w:w="3828" w:type="dxa"/>
            <w:shd w:val="pct20" w:color="auto" w:fill="FFFFFF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050">
              <w:rPr>
                <w:rFonts w:cstheme="minorHAnsi"/>
                <w:b/>
                <w:i/>
                <w:sz w:val="28"/>
                <w:szCs w:val="28"/>
              </w:rPr>
              <w:t>Znanje</w:t>
            </w:r>
          </w:p>
        </w:tc>
        <w:tc>
          <w:tcPr>
            <w:tcW w:w="4044" w:type="dxa"/>
            <w:shd w:val="pct20" w:color="auto" w:fill="FFFFFF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050">
              <w:rPr>
                <w:rFonts w:cstheme="minorHAnsi"/>
                <w:b/>
                <w:i/>
                <w:sz w:val="28"/>
                <w:szCs w:val="28"/>
              </w:rPr>
              <w:t>Izvajanje</w:t>
            </w:r>
          </w:p>
        </w:tc>
        <w:tc>
          <w:tcPr>
            <w:tcW w:w="3402" w:type="dxa"/>
            <w:shd w:val="pct20" w:color="auto" w:fill="FFFFFF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050">
              <w:rPr>
                <w:rFonts w:cstheme="minorHAnsi"/>
                <w:b/>
                <w:i/>
                <w:sz w:val="28"/>
                <w:szCs w:val="28"/>
              </w:rPr>
              <w:t>Ustvarjanje</w:t>
            </w:r>
          </w:p>
        </w:tc>
        <w:tc>
          <w:tcPr>
            <w:tcW w:w="2476" w:type="dxa"/>
            <w:shd w:val="pct20" w:color="auto" w:fill="FFFFFF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FD0050">
              <w:rPr>
                <w:rFonts w:cstheme="minorHAnsi"/>
                <w:b/>
                <w:i/>
                <w:sz w:val="28"/>
                <w:szCs w:val="28"/>
              </w:rPr>
              <w:t>Poslušanje</w:t>
            </w:r>
          </w:p>
        </w:tc>
      </w:tr>
      <w:tr w:rsidR="00EB7091" w:rsidRPr="00FD0050" w:rsidTr="0091446A">
        <w:trPr>
          <w:cantSplit/>
        </w:trPr>
        <w:tc>
          <w:tcPr>
            <w:tcW w:w="1485" w:type="dxa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</w:p>
          <w:p w:rsidR="00EB7091" w:rsidRPr="00FD0050" w:rsidRDefault="00EB7091" w:rsidP="00F44E4D">
            <w:pPr>
              <w:pStyle w:val="Naslov1"/>
              <w:jc w:val="center"/>
              <w:rPr>
                <w:rFonts w:asciiTheme="minorHAnsi" w:hAnsiTheme="minorHAnsi" w:cstheme="minorHAnsi"/>
                <w:b/>
              </w:rPr>
            </w:pPr>
            <w:r w:rsidRPr="00FD0050">
              <w:rPr>
                <w:rFonts w:asciiTheme="minorHAnsi" w:hAnsiTheme="minorHAnsi" w:cstheme="minorHAnsi"/>
                <w:b/>
              </w:rPr>
              <w:t>Odlično</w:t>
            </w:r>
          </w:p>
          <w:p w:rsidR="00EB7091" w:rsidRPr="00FD0050" w:rsidRDefault="00EB7091" w:rsidP="00F44E4D">
            <w:pPr>
              <w:jc w:val="center"/>
              <w:rPr>
                <w:rFonts w:cstheme="minorHAnsi"/>
                <w:b/>
                <w:sz w:val="24"/>
              </w:rPr>
            </w:pPr>
            <w:r w:rsidRPr="00FD0050">
              <w:rPr>
                <w:rFonts w:cstheme="minorHAnsi"/>
                <w:b/>
                <w:sz w:val="24"/>
              </w:rPr>
              <w:t>5</w:t>
            </w:r>
          </w:p>
        </w:tc>
        <w:tc>
          <w:tcPr>
            <w:tcW w:w="3828" w:type="dxa"/>
          </w:tcPr>
          <w:p w:rsidR="00EB7091" w:rsidRPr="00FD0050" w:rsidRDefault="00EB7091" w:rsidP="00EB7091">
            <w:r w:rsidRPr="00FD0050">
              <w:t xml:space="preserve">Obnavljanje znanja kaže </w:t>
            </w:r>
            <w:r>
              <w:t>razumevanje</w:t>
            </w:r>
            <w:r w:rsidRPr="00FD0050">
              <w:t xml:space="preserve"> pojmov. Mogoče ga je prekiniti z dodatnimi vprašanji, vendar ga to ne zmede. Znanje predstavi na svoj način, razmišlja glasno in navaja dobre in praktične prim</w:t>
            </w:r>
            <w:r>
              <w:t>ere. Snov samostojno povezuje</w:t>
            </w:r>
            <w:r w:rsidRPr="00FD0050">
              <w:t>. Pojavljajo se izvirne zamisli, ki jih zna zagovarjati in analizirati.</w:t>
            </w:r>
            <w:r>
              <w:t xml:space="preserve"> Napake so lahko številne in značilne za samostojen način razmišljanja. </w:t>
            </w:r>
          </w:p>
        </w:tc>
        <w:tc>
          <w:tcPr>
            <w:tcW w:w="4044" w:type="dxa"/>
          </w:tcPr>
          <w:p w:rsidR="00EB7091" w:rsidRPr="00FD0050" w:rsidRDefault="00EB7091" w:rsidP="00EB7091">
            <w:r w:rsidRPr="00FD0050">
              <w:t>Z izrazitim interesom sodeluje pri izvajanju (petje, igranje na glasbila, ples)</w:t>
            </w:r>
            <w:r w:rsidR="00BD5D91">
              <w:t>, tudi na lastno pobudo</w:t>
            </w:r>
            <w:r w:rsidRPr="00FD0050">
              <w:t>. Obvlada načrtovani izvajalski repertoar. Upošteva in uporablja tehniko petja in igra različne ritmične in melodične inštrumente.</w:t>
            </w:r>
            <w:r>
              <w:t xml:space="preserve"> Izvaja na pamet z manjšimi napakami, ob uporabi besedila dosledno upošteva interpretacijo.</w:t>
            </w:r>
          </w:p>
        </w:tc>
        <w:tc>
          <w:tcPr>
            <w:tcW w:w="3402" w:type="dxa"/>
          </w:tcPr>
          <w:p w:rsidR="00EB7091" w:rsidRPr="00FD0050" w:rsidRDefault="00EB7091" w:rsidP="0091446A">
            <w:r w:rsidRPr="00FD0050">
              <w:t xml:space="preserve">Doživeto poustvarja, muzicira, pozna in upošteva načrtovana sredstva interpretacije. Ustvarjalno oblikuje melodije, ritme, spremljave. Ob glasbi se ustvarjalno likovno, gibalno in besedno izraža. </w:t>
            </w:r>
          </w:p>
        </w:tc>
        <w:tc>
          <w:tcPr>
            <w:tcW w:w="2476" w:type="dxa"/>
          </w:tcPr>
          <w:p w:rsidR="00EB7091" w:rsidRPr="00FD0050" w:rsidRDefault="00EB7091" w:rsidP="0091446A">
            <w:r w:rsidRPr="00FD0050">
              <w:t>Pozorno posluša, samostojno prepozna-va, primerja, vrednoti glasbene primere in obravnavane značilno-sti načrtovanih skladb.</w:t>
            </w:r>
          </w:p>
        </w:tc>
      </w:tr>
      <w:tr w:rsidR="00EB7091" w:rsidRPr="00FD0050" w:rsidTr="0091446A">
        <w:trPr>
          <w:cantSplit/>
        </w:trPr>
        <w:tc>
          <w:tcPr>
            <w:tcW w:w="1485" w:type="dxa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</w:p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  <w:r w:rsidRPr="00FD0050">
              <w:rPr>
                <w:rFonts w:asciiTheme="minorHAnsi" w:hAnsiTheme="minorHAnsi" w:cstheme="minorHAnsi"/>
                <w:b/>
              </w:rPr>
              <w:t>Prav dobro</w:t>
            </w: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sz w:val="24"/>
              </w:rPr>
            </w:pPr>
            <w:r w:rsidRPr="00FD0050">
              <w:rPr>
                <w:rFonts w:cstheme="minorHAnsi"/>
                <w:b/>
                <w:sz w:val="24"/>
              </w:rPr>
              <w:t>4</w:t>
            </w:r>
          </w:p>
        </w:tc>
        <w:tc>
          <w:tcPr>
            <w:tcW w:w="3828" w:type="dxa"/>
          </w:tcPr>
          <w:p w:rsidR="00EB7091" w:rsidRPr="00FD0050" w:rsidRDefault="00EB7091" w:rsidP="0091446A">
            <w:r w:rsidRPr="00FD0050">
              <w:t>Obnavljanje znanja zajema točno dojemanje bistva pojmov. Navaja primere iz las</w:t>
            </w:r>
            <w:r>
              <w:t>t</w:t>
            </w:r>
            <w:r w:rsidRPr="00FD0050">
              <w:t>nih izkušenj in jih zna pojasniti. Znanje je utrjeno in brez vrzeli. Napake so redke in manj pomembne. Sposoben je vodene analize in sinteze, opazovanja in izločanja bistva.</w:t>
            </w:r>
          </w:p>
        </w:tc>
        <w:tc>
          <w:tcPr>
            <w:tcW w:w="4044" w:type="dxa"/>
          </w:tcPr>
          <w:p w:rsidR="00EB7091" w:rsidRPr="00FD0050" w:rsidRDefault="00EB7091" w:rsidP="0091446A">
            <w:r w:rsidRPr="00FD0050">
              <w:t>Z interesom sodeluje pri izvajanju (petje, igranje na inštrumente in ples) načrtovanega repertoarja. Upošteva tehniko petja in igra na ritmična in melodična glasbila.</w:t>
            </w:r>
            <w:r>
              <w:t xml:space="preserve"> </w:t>
            </w:r>
            <w:r w:rsidR="00F44E4D">
              <w:t>Izvaja lahko ob pomoči besedila ali notnega zapisa.</w:t>
            </w:r>
          </w:p>
        </w:tc>
        <w:tc>
          <w:tcPr>
            <w:tcW w:w="3402" w:type="dxa"/>
          </w:tcPr>
          <w:p w:rsidR="00EB7091" w:rsidRPr="00FD0050" w:rsidRDefault="00EB7091" w:rsidP="0091446A">
            <w:r w:rsidRPr="00FD0050">
              <w:t>Poustvarja, muzicira, pozna sredstva interpretacije. Korektno oblikuje melodije, ritme, spremljave. Ob glasbi se ustrezno likovno, gibalno ali besedno izrazi.</w:t>
            </w:r>
          </w:p>
        </w:tc>
        <w:tc>
          <w:tcPr>
            <w:tcW w:w="2476" w:type="dxa"/>
          </w:tcPr>
          <w:p w:rsidR="00EB7091" w:rsidRPr="00FD0050" w:rsidRDefault="00EB7091" w:rsidP="0091446A">
            <w:r w:rsidRPr="00FD0050">
              <w:t>Pozorn</w:t>
            </w:r>
            <w:r>
              <w:t>o posluša, prepoznava in primer</w:t>
            </w:r>
            <w:r w:rsidRPr="00FD0050">
              <w:t>ja temeljne značilnosti načrtovanih glasbenih primerov.</w:t>
            </w:r>
          </w:p>
        </w:tc>
      </w:tr>
      <w:tr w:rsidR="00EB7091" w:rsidRPr="00FD0050" w:rsidTr="0091446A">
        <w:trPr>
          <w:cantSplit/>
        </w:trPr>
        <w:tc>
          <w:tcPr>
            <w:tcW w:w="1485" w:type="dxa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</w:p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  <w:r w:rsidRPr="00FD0050">
              <w:rPr>
                <w:rFonts w:asciiTheme="minorHAnsi" w:hAnsiTheme="minorHAnsi" w:cstheme="minorHAnsi"/>
                <w:b/>
              </w:rPr>
              <w:t>Dobro</w:t>
            </w: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sz w:val="24"/>
              </w:rPr>
            </w:pPr>
            <w:r w:rsidRPr="00FD0050">
              <w:rPr>
                <w:rFonts w:cstheme="minorHAnsi"/>
                <w:b/>
                <w:sz w:val="24"/>
              </w:rPr>
              <w:t>3</w:t>
            </w:r>
          </w:p>
        </w:tc>
        <w:tc>
          <w:tcPr>
            <w:tcW w:w="3828" w:type="dxa"/>
          </w:tcPr>
          <w:p w:rsidR="00EB7091" w:rsidRPr="00FD0050" w:rsidRDefault="00EB7091" w:rsidP="00EB7091">
            <w:r w:rsidRPr="00FD0050">
              <w:t xml:space="preserve">Obnavljanje znanja je solidno. Vključuje razumevanje snovi, vendar </w:t>
            </w:r>
            <w:r>
              <w:t>ni poglobljeno</w:t>
            </w:r>
            <w:r w:rsidRPr="00FD0050">
              <w:t>. Znanje ima vrzeli. Primeri so navedeni po razlagi. Zna opazovati, vendar potrebuje več pomoči pri analizi in sintezi.</w:t>
            </w:r>
          </w:p>
        </w:tc>
        <w:tc>
          <w:tcPr>
            <w:tcW w:w="4044" w:type="dxa"/>
          </w:tcPr>
          <w:p w:rsidR="00EB7091" w:rsidRPr="00FD0050" w:rsidRDefault="00EB7091" w:rsidP="0091446A">
            <w:r w:rsidRPr="00FD0050">
              <w:t>Sodeluje pri petju, igranju in plesu na učiteljevo pobudo. Obvlada večino repertoarja. Delno upošteva tehniko petja. Igranje na glasbila ob pomoči učitelja.</w:t>
            </w:r>
            <w:r w:rsidR="00BD5D91">
              <w:t xml:space="preserve"> Izvajanje je lahko ob pomoči notnega zapisa.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B7091" w:rsidRPr="00FD0050" w:rsidRDefault="00EB7091" w:rsidP="0091446A">
            <w:r w:rsidRPr="00FD0050">
              <w:t>Deloma upošteva sredstva interpretacije. Oblikuje glasbene vsebine in se ob glasbi likovno, besedno ali gibalno izraža po učiteljevih navodilih.</w:t>
            </w:r>
          </w:p>
        </w:tc>
        <w:tc>
          <w:tcPr>
            <w:tcW w:w="2476" w:type="dxa"/>
          </w:tcPr>
          <w:p w:rsidR="00EB7091" w:rsidRPr="00FD0050" w:rsidRDefault="00EB7091" w:rsidP="0091446A">
            <w:r w:rsidRPr="00FD0050">
              <w:t>Posluša in prepoznava posamezne značilnosti glasbenih primerov.</w:t>
            </w:r>
          </w:p>
        </w:tc>
      </w:tr>
      <w:tr w:rsidR="00EB7091" w:rsidRPr="00FD0050" w:rsidTr="0091446A">
        <w:trPr>
          <w:cantSplit/>
        </w:trPr>
        <w:tc>
          <w:tcPr>
            <w:tcW w:w="1485" w:type="dxa"/>
          </w:tcPr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</w:p>
          <w:p w:rsidR="00EB7091" w:rsidRPr="00FD0050" w:rsidRDefault="00EB7091" w:rsidP="0091446A">
            <w:pPr>
              <w:pStyle w:val="Naslov1"/>
              <w:rPr>
                <w:rFonts w:asciiTheme="minorHAnsi" w:hAnsiTheme="minorHAnsi" w:cstheme="minorHAnsi"/>
                <w:b/>
              </w:rPr>
            </w:pPr>
            <w:r w:rsidRPr="00FD0050">
              <w:rPr>
                <w:rFonts w:asciiTheme="minorHAnsi" w:hAnsiTheme="minorHAnsi" w:cstheme="minorHAnsi"/>
                <w:b/>
              </w:rPr>
              <w:t>Zadostno</w:t>
            </w: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sz w:val="24"/>
              </w:rPr>
            </w:pPr>
            <w:r w:rsidRPr="00FD0050">
              <w:rPr>
                <w:rFonts w:cstheme="minorHAnsi"/>
                <w:b/>
                <w:sz w:val="24"/>
              </w:rPr>
              <w:t>2</w:t>
            </w:r>
          </w:p>
          <w:p w:rsidR="00EB7091" w:rsidRPr="00FD0050" w:rsidRDefault="00EB7091" w:rsidP="0091446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828" w:type="dxa"/>
          </w:tcPr>
          <w:p w:rsidR="00EB7091" w:rsidRPr="00FD0050" w:rsidRDefault="00EB7091" w:rsidP="0091446A">
            <w:r w:rsidRPr="00FD0050">
              <w:t>Obnavl</w:t>
            </w:r>
            <w:r>
              <w:t xml:space="preserve">janje znanja je skopo, </w:t>
            </w:r>
            <w:r w:rsidRPr="00FD0050">
              <w:t>vendar vsebuje bistvene elemente, na katerih je možno graditi nadaljnje temeljno znanje. Snovi v celoti ne razume. Izražanje je skromno.</w:t>
            </w:r>
          </w:p>
        </w:tc>
        <w:tc>
          <w:tcPr>
            <w:tcW w:w="4044" w:type="dxa"/>
          </w:tcPr>
          <w:p w:rsidR="00EB7091" w:rsidRPr="00FD0050" w:rsidRDefault="00EB7091" w:rsidP="0091446A">
            <w:r w:rsidRPr="00FD0050">
              <w:t>Občasno sodeluje pri posameznih dejavnostih. Obvlada le del repertoarja. Poje in igra na enostavnejša glasbila.</w:t>
            </w:r>
          </w:p>
        </w:tc>
        <w:tc>
          <w:tcPr>
            <w:tcW w:w="3402" w:type="dxa"/>
          </w:tcPr>
          <w:p w:rsidR="00EB7091" w:rsidRPr="00FD0050" w:rsidRDefault="00EB7091" w:rsidP="00F44E4D">
            <w:r w:rsidRPr="00FD0050">
              <w:t xml:space="preserve">Občasno upošteva posamezna sredstva interpretacije. Oblikuje enostavne glasbene vsebine </w:t>
            </w:r>
            <w:r w:rsidR="00F44E4D">
              <w:t>in se občasno izraža ob glasbi.</w:t>
            </w:r>
          </w:p>
        </w:tc>
        <w:tc>
          <w:tcPr>
            <w:tcW w:w="2476" w:type="dxa"/>
          </w:tcPr>
          <w:p w:rsidR="00EB7091" w:rsidRPr="00FD0050" w:rsidRDefault="00EB7091" w:rsidP="0091446A">
            <w:r w:rsidRPr="00FD0050">
              <w:t>Občasno posluša in prepoznava določene značilnosti pri posa-meznih glasbenih primerih.</w:t>
            </w:r>
          </w:p>
        </w:tc>
      </w:tr>
    </w:tbl>
    <w:p w:rsidR="003901A7" w:rsidRDefault="003901A7"/>
    <w:sectPr w:rsidR="003901A7" w:rsidSect="00EB7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1"/>
    <w:rsid w:val="003901A7"/>
    <w:rsid w:val="007F1144"/>
    <w:rsid w:val="00A320B4"/>
    <w:rsid w:val="00BD5D91"/>
    <w:rsid w:val="00C56EFA"/>
    <w:rsid w:val="00E520C3"/>
    <w:rsid w:val="00EB7091"/>
    <w:rsid w:val="00F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1DEC"/>
  <w15:chartTrackingRefBased/>
  <w15:docId w15:val="{52B240DC-534C-4ACE-8CB1-FF7D29BF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091"/>
  </w:style>
  <w:style w:type="paragraph" w:styleId="Naslov1">
    <w:name w:val="heading 1"/>
    <w:basedOn w:val="Navaden"/>
    <w:next w:val="Navaden"/>
    <w:link w:val="Naslov1Znak"/>
    <w:uiPriority w:val="9"/>
    <w:qFormat/>
    <w:rsid w:val="00EB709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7091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3F854A-B867-4D2E-91DE-50E6EA3B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Jahn</dc:creator>
  <cp:keywords/>
  <dc:description/>
  <cp:lastModifiedBy>Maša Jahn</cp:lastModifiedBy>
  <cp:revision>4</cp:revision>
  <dcterms:created xsi:type="dcterms:W3CDTF">2022-10-25T18:18:00Z</dcterms:created>
  <dcterms:modified xsi:type="dcterms:W3CDTF">2022-10-25T18:30:00Z</dcterms:modified>
</cp:coreProperties>
</file>